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Checklist de documentos para pedido de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Relação geral baseada no art. 51 da Lei nº 11.101/2005. A documentação deve ser adaptada ao tipo societário, ao setor, à estrutura do grupo e às particularidades do caso.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Contexto e regularidade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1. Exposição das causas concretas da crise e da situação patrimonial.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2. Comprovação do exercício regular da atividade e dos requisitos do art. 48.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3. Certidão de regularidade no Registro Público de Empresas.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4. Ato constitutivo atualizado e atos de nomeação dos administradores.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5. Deliberação societária e procuração, quando aplicáveis.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Demonstrações contábeis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6. Balanços patrimoniais dos três últimos exercícios.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7. Demonstrações de resultados acumulados dos três últimos exercícios.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8. Demonstração do resultado desde o último exercício social.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9. Balanço especial levantado para instruir o pedido.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10. Relatório gerencial de fluxo de caixa e projeção.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11. Descrição das sociedades integrantes de grupo de fato ou de direito.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Credores e empregados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12. Relação completa dos credores sujeitos e não sujeitos, com endereço físico e eletrônico, natureza, classificação, origem, vencimentos e valor atualizado.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13. Relação integral dos empregados, com função, salário, indenizações, demais parcelas, mês de competência e valores pendentes.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Patrimônio finanças e contingências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14. Relação dos bens particulares dos sócios controladores e administradores.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15. Extratos atualizados de contas bancárias e aplicações financeiras.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16. Certidões dos cartórios de protesto da sede e das filiais.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17. Relação de ações judiciais e procedimentos arbitrais, inclusive trabalhistas, com estimativa dos valores.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18. Relatório detalhado do passivo fiscal.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19. Relação dos bens e direitos do ativo não circulante, inclusive os não sujeitos à recuperação, acompanhada dos negócios jurídicos com credores fiduciários.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Documentos complementares conforme o caso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20. Contratos, garantias e documentos que comprovem a origem dos principais créditos.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21. Documentos de veículos, máquinas, equipamentos, imóveis e outros bens cuja essencialidade será analisada.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22. Comprovantes de utilização operacional dos bens, como CT-e, relatórios de viagens, pedágios, ordens de serviço e registros de produção.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23. Faturas e avisos de corte de serviços essenciais, quando houver pedido urgente.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24. Licenças, autorizações, contratos relevantes e documentos regulatórios do setor.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25. Documentos específicos exigidos pelo juízo ou identificados na constatação prévia.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Controle de revisão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48"/>
        <w:gridCol w:w="2448"/>
        <w:gridCol w:w="2448"/>
        <w:gridCol w:w="2448"/>
      </w:tblGrid>
      <w:tr>
        <w:tc>
          <w:tcPr>
            <w:tcW w:type="dxa" w:w="100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Item</w:t>
            </w:r>
          </w:p>
        </w:tc>
        <w:tc>
          <w:tcPr>
            <w:tcW w:type="dxa" w:w="259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Responsável</w:t>
            </w:r>
          </w:p>
        </w:tc>
        <w:tc>
          <w:tcPr>
            <w:tcW w:type="dxa" w:w="201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Situação</w:t>
            </w:r>
          </w:p>
        </w:tc>
        <w:tc>
          <w:tcPr>
            <w:tcW w:type="dxa" w:w="417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Observações</w:t>
            </w:r>
          </w:p>
        </w:tc>
      </w:tr>
      <w:tr>
        <w:tc>
          <w:tcPr>
            <w:tcW w:type="dxa" w:w="10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0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0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0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0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0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r>
        <w:rPr>
          <w:rFonts w:ascii="Courier New" w:hAnsi="Courier New"/>
          <w:b w:val="0"/>
          <w:i w:val="0"/>
          <w:color w:val="000000"/>
          <w:sz w:val="24"/>
        </w:rPr>
        <w:t>Referência: Lei nº 11.101/2005, especialmente art. 51. A conferência final deve considerar a legislação vigente e as exigências do juízo competente.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documentos para pedido de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