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Guia de conciliação: balanço especial e relação de credores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Os dois documentos têm finalidades diferentes e devem ser conciliados. A relação de credores não deve ser copiada mecanicamente do passivo contábil.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3264"/>
        <w:gridCol w:w="3264"/>
        <w:gridCol w:w="3264"/>
      </w:tblGrid>
      <w:tr>
        <w:tc>
          <w:tcPr>
            <w:tcW w:type="dxa" w:w="194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Aspecto</w:t>
            </w:r>
          </w:p>
        </w:tc>
        <w:tc>
          <w:tcPr>
            <w:tcW w:type="dxa" w:w="388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Balanço especial</w:t>
            </w:r>
          </w:p>
        </w:tc>
        <w:tc>
          <w:tcPr>
            <w:tcW w:type="dxa" w:w="388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Relação de credores</w:t>
            </w:r>
          </w:p>
        </w:tc>
      </w:tr>
      <w:tr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Finalidade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Posição patrimonial em data-base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Identificação individual dos créditos</w:t>
            </w:r>
          </w:p>
        </w:tc>
      </w:tr>
      <w:tr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Unidade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Contas contábeis agregadas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Credor, contrato ou título</w:t>
            </w:r>
          </w:p>
        </w:tc>
      </w:tr>
      <w:tr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Escopo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Ativos, passivos e patrimônio líquido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Créditos sujeitos e não sujeitos, com classificação</w:t>
            </w:r>
          </w:p>
        </w:tc>
      </w:tr>
      <w:tr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Suporte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Razão, conciliações e demonstrações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Contratos, títulos, extratos, processos e atualização</w:t>
            </w:r>
          </w:p>
        </w:tc>
      </w:tr>
      <w:tr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Controle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Ativo = passivo + patrimônio líquido</w:t>
            </w:r>
          </w:p>
        </w:tc>
        <w:tc>
          <w:tcPr>
            <w:tcW w:type="dxa" w:w="38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  <w:t>Soma por classe/natureza e ponte com a contabilidade</w:t>
            </w:r>
          </w:p>
        </w:tc>
      </w:tr>
    </w:tbl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Procedimento recomendado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Fixar a mesma data-base e congelar a versão contábil.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Extrair fornecedores, empréstimos, obrigações trabalhistas, fiscais e outras contas.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Abrir saldos por credor e documento de origem.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Atualizar valores e classificar natureza, sujeição e garantia com revisão jurídica.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Separar créditos fiscais, fiduciários e demais hipóteses específicas sem excluí-los da análise.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Registrar diferenças entre saldo contábil e relação jurídica em ponte de conciliação.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Submeter totais, documentos e exceções à revisão contábil e jurídica.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Ponte de conciliação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72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Conta contábil</w:t>
            </w:r>
          </w:p>
        </w:tc>
        <w:tc>
          <w:tcPr>
            <w:tcW w:type="dxa" w:w="144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Saldo</w:t>
            </w:r>
          </w:p>
        </w:tc>
        <w:tc>
          <w:tcPr>
            <w:tcW w:type="dxa" w:w="172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Total na relação</w:t>
            </w:r>
          </w:p>
        </w:tc>
        <w:tc>
          <w:tcPr>
            <w:tcW w:type="dxa" w:w="144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Diferença</w:t>
            </w:r>
          </w:p>
        </w:tc>
        <w:tc>
          <w:tcPr>
            <w:tcW w:type="dxa" w:w="208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Motivo</w:t>
            </w:r>
          </w:p>
        </w:tc>
        <w:tc>
          <w:tcPr>
            <w:tcW w:type="dxa" w:w="194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Ajuste/responsável</w:t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conciliação: balanço especial e relação de credores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